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1"/>
      </w:tblPr>
      <w:tblGrid>
        <w:gridCol w:w="3840"/>
        <w:gridCol w:w="713"/>
        <w:gridCol w:w="713"/>
        <w:gridCol w:w="3843"/>
        <w:gridCol w:w="720"/>
        <w:gridCol w:w="720"/>
        <w:gridCol w:w="3851"/>
      </w:tblGrid>
      <w:tr w:rsidR="00321C67">
        <w:trPr>
          <w:trHeight w:hRule="exact" w:val="10800"/>
          <w:jc w:val="center"/>
        </w:trPr>
        <w:tc>
          <w:tcPr>
            <w:tcW w:w="3840" w:type="dxa"/>
          </w:tcPr>
          <w:p w:rsidR="00321C67" w:rsidRDefault="00C900A9">
            <w:bookmarkStart w:id="0" w:name="_GoBack"/>
            <w:bookmarkEnd w:id="0"/>
            <w:r>
              <w:t xml:space="preserve"> </w:t>
            </w:r>
          </w:p>
          <w:p w:rsidR="005F4B29" w:rsidRPr="003B053F" w:rsidRDefault="005F4B29" w:rsidP="005F4B29">
            <w:pPr>
              <w:pStyle w:val="Heading1"/>
              <w:rPr>
                <w:color w:val="FFFFFF" w:themeColor="background1"/>
                <w:shd w:val="clear" w:color="auto" w:fill="FF0000"/>
              </w:rPr>
            </w:pPr>
            <w:r w:rsidRPr="003B053F">
              <w:rPr>
                <w:color w:val="FFFFFF" w:themeColor="background1"/>
                <w:shd w:val="clear" w:color="auto" w:fill="FF0000"/>
              </w:rPr>
              <w:t>Who We Are</w:t>
            </w:r>
            <w:r w:rsidR="009676ED">
              <w:rPr>
                <w:color w:val="FFFFFF" w:themeColor="background1"/>
                <w:shd w:val="clear" w:color="auto" w:fill="FF0000"/>
              </w:rPr>
              <w:t>:</w:t>
            </w:r>
          </w:p>
          <w:p w:rsidR="005F4B29" w:rsidRDefault="005F4B29" w:rsidP="00193B68">
            <w:pPr>
              <w:pStyle w:val="Heading2"/>
            </w:pPr>
            <w:r w:rsidRPr="001E452D">
              <w:t>About Us</w:t>
            </w:r>
          </w:p>
          <w:p w:rsidR="005F4B29" w:rsidRDefault="005F4B29" w:rsidP="005F4B29">
            <w:pPr>
              <w:rPr>
                <w:rFonts w:asciiTheme="majorHAnsi" w:hAnsiTheme="majorHAnsi"/>
              </w:rPr>
            </w:pPr>
            <w:r w:rsidRPr="001E452D">
              <w:rPr>
                <w:rFonts w:asciiTheme="majorHAnsi" w:hAnsiTheme="majorHAnsi"/>
              </w:rPr>
              <w:t>Heidi Pace is an Infant, Child and Family Counsellor who has</w:t>
            </w:r>
            <w:r>
              <w:rPr>
                <w:rFonts w:asciiTheme="majorHAnsi" w:hAnsiTheme="majorHAnsi"/>
              </w:rPr>
              <w:t xml:space="preserve"> Master’s degree in Counselling Psychology.  She has</w:t>
            </w:r>
            <w:r w:rsidRPr="001E452D">
              <w:rPr>
                <w:rFonts w:asciiTheme="majorHAnsi" w:hAnsiTheme="majorHAnsi"/>
              </w:rPr>
              <w:t xml:space="preserve"> worked in the field for over 30 years, working in the USA, So</w:t>
            </w:r>
            <w:r>
              <w:rPr>
                <w:rFonts w:asciiTheme="majorHAnsi" w:hAnsiTheme="majorHAnsi"/>
              </w:rPr>
              <w:t xml:space="preserve">uth America and NZ.  Heidi is certified in Infant-Parent Mental Health Postgraduate Program and Fellowship </w:t>
            </w:r>
            <w:r w:rsidRPr="001E452D">
              <w:rPr>
                <w:rFonts w:asciiTheme="majorHAnsi" w:hAnsiTheme="majorHAnsi"/>
              </w:rPr>
              <w:t xml:space="preserve">and trained in NCAST </w:t>
            </w:r>
            <w:r>
              <w:rPr>
                <w:rFonts w:asciiTheme="majorHAnsi" w:hAnsiTheme="majorHAnsi"/>
              </w:rPr>
              <w:t xml:space="preserve">PCI </w:t>
            </w:r>
            <w:r w:rsidRPr="001E452D">
              <w:rPr>
                <w:rFonts w:asciiTheme="majorHAnsi" w:hAnsiTheme="majorHAnsi"/>
              </w:rPr>
              <w:t xml:space="preserve">Feeding and Teaching Assessment Scales, New-born Behavioural Observations (NBO), </w:t>
            </w:r>
            <w:r>
              <w:rPr>
                <w:rFonts w:asciiTheme="majorHAnsi" w:hAnsiTheme="majorHAnsi"/>
              </w:rPr>
              <w:t>PCIT,</w:t>
            </w:r>
            <w:r w:rsidRPr="001E452D">
              <w:rPr>
                <w:rFonts w:asciiTheme="majorHAnsi" w:hAnsiTheme="majorHAnsi"/>
              </w:rPr>
              <w:t xml:space="preserve"> VIT</w:t>
            </w:r>
            <w:r>
              <w:rPr>
                <w:rFonts w:asciiTheme="majorHAnsi" w:hAnsiTheme="majorHAnsi"/>
              </w:rPr>
              <w:t>, CBT, DBT, Couple</w:t>
            </w:r>
            <w:r w:rsidR="004958B9">
              <w:rPr>
                <w:rFonts w:asciiTheme="majorHAnsi" w:hAnsiTheme="majorHAnsi"/>
              </w:rPr>
              <w:t xml:space="preserve"> counselling and Family Therapy, working to accreditation in </w:t>
            </w:r>
            <w:r w:rsidR="004958B9" w:rsidRPr="001E452D">
              <w:rPr>
                <w:rFonts w:asciiTheme="majorHAnsi" w:hAnsiTheme="majorHAnsi"/>
              </w:rPr>
              <w:t>Watch, Wait and Wonder (WWW)</w:t>
            </w:r>
            <w:r w:rsidR="004958B9">
              <w:rPr>
                <w:rFonts w:asciiTheme="majorHAnsi" w:hAnsiTheme="majorHAnsi"/>
              </w:rPr>
              <w:t>.</w:t>
            </w:r>
          </w:p>
          <w:p w:rsidR="005F2501" w:rsidRDefault="005F2501" w:rsidP="005F2501">
            <w:pPr>
              <w:rPr>
                <w:rFonts w:asciiTheme="majorHAnsi" w:hAnsiTheme="majorHAnsi"/>
              </w:rPr>
            </w:pPr>
            <w:r w:rsidRPr="001E452D">
              <w:rPr>
                <w:rFonts w:asciiTheme="majorHAnsi" w:hAnsiTheme="majorHAnsi"/>
              </w:rPr>
              <w:t xml:space="preserve">Sarah Haskell is an Occupational Therapist </w:t>
            </w:r>
            <w:r w:rsidR="000652AB">
              <w:rPr>
                <w:rFonts w:asciiTheme="majorHAnsi" w:hAnsiTheme="majorHAnsi"/>
              </w:rPr>
              <w:t>who has specialised in Infant, C</w:t>
            </w:r>
            <w:r w:rsidRPr="001E452D">
              <w:rPr>
                <w:rFonts w:asciiTheme="majorHAnsi" w:hAnsiTheme="majorHAnsi"/>
              </w:rPr>
              <w:t>hild and Adolescent Mental Health over the past 25 years, working in the UK and NZ.  Sa</w:t>
            </w:r>
            <w:r>
              <w:rPr>
                <w:rFonts w:asciiTheme="majorHAnsi" w:hAnsiTheme="majorHAnsi"/>
              </w:rPr>
              <w:t>rah has a</w:t>
            </w:r>
            <w:r w:rsidRPr="001E452D">
              <w:rPr>
                <w:rFonts w:asciiTheme="majorHAnsi" w:hAnsiTheme="majorHAnsi"/>
              </w:rPr>
              <w:t xml:space="preserve"> M</w:t>
            </w:r>
            <w:r>
              <w:rPr>
                <w:rFonts w:asciiTheme="majorHAnsi" w:hAnsiTheme="majorHAnsi"/>
              </w:rPr>
              <w:t xml:space="preserve">aster of </w:t>
            </w:r>
            <w:r w:rsidRPr="001E452D">
              <w:rPr>
                <w:rFonts w:asciiTheme="majorHAnsi" w:hAnsiTheme="majorHAnsi"/>
              </w:rPr>
              <w:t>Sc</w:t>
            </w:r>
            <w:r>
              <w:rPr>
                <w:rFonts w:asciiTheme="majorHAnsi" w:hAnsiTheme="majorHAnsi"/>
              </w:rPr>
              <w:t>ience degree</w:t>
            </w:r>
            <w:r w:rsidRPr="001E452D">
              <w:rPr>
                <w:rFonts w:asciiTheme="majorHAnsi" w:hAnsiTheme="majorHAnsi"/>
              </w:rPr>
              <w:t xml:space="preserve"> in Occupational Therapy and a Clinical Master’s degree in Infant Mental Health.  She is also trained in New-born Behavioural Observations (NBO), Circle of Security Parenting (COS), NCAST</w:t>
            </w:r>
            <w:r>
              <w:rPr>
                <w:rFonts w:asciiTheme="majorHAnsi" w:hAnsiTheme="majorHAnsi"/>
              </w:rPr>
              <w:t xml:space="preserve"> PCI</w:t>
            </w:r>
            <w:r w:rsidRPr="001E452D">
              <w:rPr>
                <w:rFonts w:asciiTheme="majorHAnsi" w:hAnsiTheme="majorHAnsi"/>
              </w:rPr>
              <w:t xml:space="preserve"> Feeding and Teaching Assessment Scales</w:t>
            </w:r>
            <w:r w:rsidR="004958B9">
              <w:rPr>
                <w:rFonts w:asciiTheme="majorHAnsi" w:hAnsiTheme="majorHAnsi"/>
              </w:rPr>
              <w:t xml:space="preserve">, </w:t>
            </w:r>
            <w:r w:rsidRPr="001E452D">
              <w:rPr>
                <w:rFonts w:asciiTheme="majorHAnsi" w:hAnsiTheme="majorHAnsi"/>
              </w:rPr>
              <w:t>PCIT, VIT, Triple P-Positive Parenting Programme</w:t>
            </w:r>
            <w:r>
              <w:rPr>
                <w:rFonts w:asciiTheme="majorHAnsi" w:hAnsiTheme="majorHAnsi"/>
              </w:rPr>
              <w:t>, CBT, Solutio</w:t>
            </w:r>
            <w:r w:rsidR="004958B9">
              <w:rPr>
                <w:rFonts w:asciiTheme="majorHAnsi" w:hAnsiTheme="majorHAnsi"/>
              </w:rPr>
              <w:t>n Focus Therapy, Family Ther</w:t>
            </w:r>
            <w:r w:rsidR="00FB199E">
              <w:rPr>
                <w:rFonts w:asciiTheme="majorHAnsi" w:hAnsiTheme="majorHAnsi"/>
              </w:rPr>
              <w:t>apy, and</w:t>
            </w:r>
            <w:r w:rsidR="004958B9">
              <w:rPr>
                <w:rFonts w:asciiTheme="majorHAnsi" w:hAnsiTheme="majorHAnsi"/>
              </w:rPr>
              <w:t xml:space="preserve"> Watch, Wait and Wonder (WWW).</w:t>
            </w:r>
          </w:p>
          <w:p w:rsidR="005F2501" w:rsidRPr="001E452D" w:rsidRDefault="005F2501" w:rsidP="005F250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Heidi and Sarah have presented at numerous conferences both nationally and internationally.</w:t>
            </w:r>
          </w:p>
          <w:p w:rsidR="00321C67" w:rsidRDefault="00321C67" w:rsidP="005F4B29">
            <w:pPr>
              <w:pStyle w:val="Heading2"/>
            </w:pPr>
          </w:p>
        </w:tc>
        <w:tc>
          <w:tcPr>
            <w:tcW w:w="713" w:type="dxa"/>
          </w:tcPr>
          <w:p w:rsidR="00321C67" w:rsidRDefault="00321C67"/>
        </w:tc>
        <w:tc>
          <w:tcPr>
            <w:tcW w:w="713" w:type="dxa"/>
          </w:tcPr>
          <w:p w:rsidR="00321C67" w:rsidRDefault="00321C67"/>
        </w:tc>
        <w:tc>
          <w:tcPr>
            <w:tcW w:w="3843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43"/>
            </w:tblGrid>
            <w:tr w:rsidR="00321C67" w:rsidTr="00F0511C">
              <w:trPr>
                <w:trHeight w:hRule="exact" w:val="7920"/>
              </w:trPr>
              <w:tc>
                <w:tcPr>
                  <w:tcW w:w="5000" w:type="pct"/>
                </w:tcPr>
                <w:p w:rsidR="00321C67" w:rsidRDefault="00254E1B">
                  <w:pPr>
                    <w:pStyle w:val="Heading2"/>
                  </w:pPr>
                  <w:r>
                    <w:t>Contact Us</w:t>
                  </w:r>
                  <w:r w:rsidR="00C900A9">
                    <w:t xml:space="preserve"> </w:t>
                  </w:r>
                </w:p>
                <w:p w:rsidR="00DC7514" w:rsidRDefault="0087742D" w:rsidP="00B8353E">
                  <w:r>
                    <w:t>Sarah Haskell / Heidi Pace</w:t>
                  </w:r>
                  <w:r w:rsidR="0031333D">
                    <w:t xml:space="preserve">                              </w:t>
                  </w:r>
                  <w:proofErr w:type="spellStart"/>
                  <w:r w:rsidR="00254E1B">
                    <w:t>Ph</w:t>
                  </w:r>
                  <w:proofErr w:type="spellEnd"/>
                  <w:r w:rsidR="00F67584">
                    <w:t>:</w:t>
                  </w:r>
                  <w:r w:rsidR="00254E1B">
                    <w:t xml:space="preserve"> </w:t>
                  </w:r>
                  <w:r w:rsidR="00287513">
                    <w:t xml:space="preserve"> </w:t>
                  </w:r>
                  <w:r w:rsidR="00FB199E">
                    <w:t>03 768 4914</w:t>
                  </w:r>
                  <w:r w:rsidR="00287513">
                    <w:t xml:space="preserve">                                </w:t>
                  </w:r>
                  <w:r w:rsidR="00FB199E">
                    <w:t xml:space="preserve">        </w:t>
                  </w:r>
                  <w:r w:rsidR="00287513">
                    <w:t xml:space="preserve">    </w:t>
                  </w:r>
                  <w:r w:rsidR="00F67584">
                    <w:t xml:space="preserve">Email: </w:t>
                  </w:r>
                  <w:r w:rsidR="00DC7514" w:rsidRPr="0031333D">
                    <w:t>its_sarah.heidi@yahoo.co.nz</w:t>
                  </w:r>
                  <w:r w:rsidR="0031333D">
                    <w:t xml:space="preserve"> its_heidi.sarah@yahoo.co.nz</w:t>
                  </w:r>
                </w:p>
                <w:p w:rsidR="00DC7514" w:rsidRPr="0031333D" w:rsidRDefault="00DC7514" w:rsidP="0031333D">
                  <w:pPr>
                    <w:pStyle w:val="Heading1"/>
                    <w:rPr>
                      <w:color w:val="FFFFFF" w:themeColor="background1"/>
                      <w:sz w:val="32"/>
                      <w:szCs w:val="32"/>
                      <w:shd w:val="clear" w:color="auto" w:fill="FF0000"/>
                    </w:rPr>
                  </w:pPr>
                  <w:r w:rsidRPr="0031333D">
                    <w:rPr>
                      <w:color w:val="FFFFFF" w:themeColor="background1"/>
                      <w:sz w:val="32"/>
                      <w:szCs w:val="32"/>
                      <w:shd w:val="clear" w:color="auto" w:fill="FF0000"/>
                    </w:rPr>
                    <w:t>NCAST Credentials</w:t>
                  </w:r>
                  <w:r w:rsidR="009676ED" w:rsidRPr="0031333D">
                    <w:rPr>
                      <w:color w:val="FFFFFF" w:themeColor="background1"/>
                      <w:sz w:val="32"/>
                      <w:szCs w:val="32"/>
                      <w:shd w:val="clear" w:color="auto" w:fill="FF0000"/>
                    </w:rPr>
                    <w:t>:</w:t>
                  </w:r>
                  <w:r w:rsidRPr="0031333D">
                    <w:rPr>
                      <w:color w:val="FFFFFF" w:themeColor="background1"/>
                      <w:sz w:val="32"/>
                      <w:szCs w:val="32"/>
                      <w:shd w:val="clear" w:color="auto" w:fill="FF0000"/>
                    </w:rPr>
                    <w:t xml:space="preserve"> </w:t>
                  </w:r>
                </w:p>
                <w:p w:rsidR="001A048C" w:rsidRPr="00687B9E" w:rsidRDefault="00D1602F" w:rsidP="00B8353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Heidi and Sarah are certified</w:t>
                  </w:r>
                  <w:r w:rsidR="00DC7514">
                    <w:rPr>
                      <w:rFonts w:asciiTheme="majorHAnsi" w:hAnsiTheme="majorHAnsi"/>
                    </w:rPr>
                    <w:t xml:space="preserve"> NCAST Parent – Child Interaction Instructors</w:t>
                  </w:r>
                  <w:r>
                    <w:rPr>
                      <w:rFonts w:asciiTheme="majorHAnsi" w:hAnsiTheme="majorHAnsi"/>
                    </w:rPr>
                    <w:t xml:space="preserve"> through the University of Washington, Seattle, USA.</w:t>
                  </w:r>
                </w:p>
                <w:p w:rsidR="0031333D" w:rsidRPr="0031333D" w:rsidRDefault="00687B9E" w:rsidP="00B8353E">
                  <w:pPr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31333D">
                    <w:rPr>
                      <w:rFonts w:asciiTheme="majorHAnsi" w:hAnsiTheme="majorHAnsi"/>
                      <w:b/>
                      <w:color w:val="FFFFFF" w:themeColor="background1"/>
                      <w:sz w:val="32"/>
                      <w:szCs w:val="32"/>
                      <w:shd w:val="clear" w:color="auto" w:fill="FF0000"/>
                    </w:rPr>
                    <w:t>Training suitable for:</w:t>
                  </w:r>
                </w:p>
                <w:p w:rsidR="00DC7514" w:rsidRDefault="00687B9E" w:rsidP="00B8353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Health and Education professionals working with infant and toddlers and their family / whanau, for example, Psychologists, Nurses, Occupational Therapists, Social Workers, Speech and Language Therapists, Physiotherapists, Early Intervention Education Teachers, Counsellors etc.</w:t>
                  </w:r>
                </w:p>
                <w:p w:rsidR="0031333D" w:rsidRPr="0031333D" w:rsidRDefault="0031333D" w:rsidP="0031333D">
                  <w:pPr>
                    <w:shd w:val="clear" w:color="auto" w:fill="FF000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32"/>
                      <w:szCs w:val="32"/>
                    </w:rPr>
                    <w:t xml:space="preserve">Venue:   </w:t>
                  </w:r>
                  <w:proofErr w:type="spellStart"/>
                  <w:r>
                    <w:rPr>
                      <w:rFonts w:asciiTheme="majorHAnsi" w:hAnsiTheme="majorHAnsi"/>
                      <w:b/>
                      <w:color w:val="FFFFFF" w:themeColor="background1"/>
                      <w:sz w:val="32"/>
                      <w:szCs w:val="32"/>
                    </w:rPr>
                    <w:t>ko</w:t>
                  </w:r>
                  <w:proofErr w:type="spellEnd"/>
                  <w:r>
                    <w:rPr>
                      <w:rFonts w:asciiTheme="majorHAnsi" w:hAnsiTheme="majorHAnsi"/>
                      <w:b/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/>
                      <w:b/>
                      <w:color w:val="FFFFFF" w:themeColor="background1"/>
                      <w:sz w:val="32"/>
                      <w:szCs w:val="32"/>
                    </w:rPr>
                    <w:t>Awatea</w:t>
                  </w:r>
                  <w:proofErr w:type="spellEnd"/>
                  <w:r>
                    <w:rPr>
                      <w:rFonts w:asciiTheme="majorHAnsi" w:hAnsiTheme="majorHAnsi"/>
                      <w:b/>
                      <w:color w:val="FFFFFF" w:themeColor="background1"/>
                      <w:sz w:val="32"/>
                      <w:szCs w:val="32"/>
                    </w:rPr>
                    <w:t xml:space="preserve"> Centre, Middlemore Hospital</w:t>
                  </w:r>
                </w:p>
              </w:tc>
            </w:tr>
            <w:tr w:rsidR="00321C67" w:rsidTr="00F0511C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0"/>
                    <w:gridCol w:w="270"/>
                    <w:gridCol w:w="2353"/>
                  </w:tblGrid>
                  <w:tr w:rsidR="00321C67">
                    <w:sdt>
                      <w:sdtPr>
                        <w:rPr>
                          <w:noProof/>
                          <w:lang w:val="en-NZ" w:eastAsia="en-NZ"/>
                        </w:rPr>
                        <w:alias w:val="Logo"/>
                        <w:tag w:val="Logo"/>
                        <w:id w:val="-180896203"/>
                        <w:picture/>
                      </w:sdtPr>
                      <w:sdtEndPr/>
                      <w:sdtContent>
                        <w:tc>
                          <w:tcPr>
                            <w:tcW w:w="1582" w:type="pct"/>
                            <w:vAlign w:val="center"/>
                          </w:tcPr>
                          <w:p w:rsidR="00321C67" w:rsidRDefault="00E1320E">
                            <w:pPr>
                              <w:pStyle w:val="NoSpacing"/>
                            </w:pPr>
                            <w:r w:rsidRPr="00E1320E">
                              <w:rPr>
                                <w:noProof/>
                                <w:lang w:val="en-NZ" w:eastAsia="en-NZ"/>
                              </w:rPr>
                              <w:drawing>
                                <wp:inline distT="0" distB="0" distL="0" distR="0" wp14:anchorId="33254FE2" wp14:editId="39765882">
                                  <wp:extent cx="849630" cy="774700"/>
                                  <wp:effectExtent l="0" t="635" r="6985" b="6985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862" t="53003" r="33287" b="12986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849630" cy="774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sdtContent>
                    </w:sdt>
                    <w:tc>
                      <w:tcPr>
                        <w:tcW w:w="350" w:type="pct"/>
                      </w:tcPr>
                      <w:p w:rsidR="00321C67" w:rsidRDefault="00321C67"/>
                    </w:tc>
                    <w:tc>
                      <w:tcPr>
                        <w:tcW w:w="3050" w:type="pct"/>
                      </w:tcPr>
                      <w:p w:rsidR="00321C67" w:rsidRPr="006E1B32" w:rsidRDefault="00B34C5A">
                        <w:pPr>
                          <w:pStyle w:val="Company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ITS – Infant, Toddler specialists ltd</w:t>
                        </w:r>
                      </w:p>
                      <w:p w:rsidR="00321C67" w:rsidRPr="00F67584" w:rsidRDefault="00F67584" w:rsidP="00E47A41">
                        <w:pPr>
                          <w:pStyle w:val="Footer"/>
                          <w:rPr>
                            <w:u w:val="single"/>
                          </w:rPr>
                        </w:pPr>
                        <w:r>
                          <w:t>its_sarah.heidi@yahoo.co.nz</w:t>
                        </w:r>
                      </w:p>
                      <w:p w:rsidR="00C900A9" w:rsidRDefault="00C900A9" w:rsidP="00E47A41">
                        <w:pPr>
                          <w:pStyle w:val="Footer"/>
                        </w:pPr>
                      </w:p>
                    </w:tc>
                  </w:tr>
                </w:tbl>
                <w:p w:rsidR="00321C67" w:rsidRDefault="00321C67"/>
              </w:tc>
            </w:tr>
          </w:tbl>
          <w:p w:rsidR="00321C67" w:rsidRDefault="00321C67"/>
        </w:tc>
        <w:tc>
          <w:tcPr>
            <w:tcW w:w="720" w:type="dxa"/>
          </w:tcPr>
          <w:p w:rsidR="00321C67" w:rsidRDefault="00321C67"/>
          <w:p w:rsidR="00687B9E" w:rsidRDefault="00687B9E"/>
          <w:p w:rsidR="0031333D" w:rsidRDefault="0031333D"/>
          <w:p w:rsidR="0031333D" w:rsidRDefault="0031333D"/>
        </w:tc>
        <w:tc>
          <w:tcPr>
            <w:tcW w:w="720" w:type="dxa"/>
          </w:tcPr>
          <w:p w:rsidR="00321C67" w:rsidRDefault="00321C67"/>
        </w:tc>
        <w:tc>
          <w:tcPr>
            <w:tcW w:w="3851" w:type="dxa"/>
          </w:tcPr>
          <w:p w:rsidR="00A31EA6" w:rsidRDefault="00A31EA6"/>
          <w:tbl>
            <w:tblPr>
              <w:tblStyle w:val="TableLayout"/>
              <w:tblW w:w="4024" w:type="dxa"/>
              <w:tblLayout w:type="fixed"/>
              <w:tblLook w:val="04A0" w:firstRow="1" w:lastRow="0" w:firstColumn="1" w:lastColumn="0" w:noHBand="0" w:noVBand="1"/>
            </w:tblPr>
            <w:tblGrid>
              <w:gridCol w:w="4024"/>
            </w:tblGrid>
            <w:tr w:rsidR="00321C67" w:rsidTr="00A31EA6">
              <w:trPr>
                <w:trHeight w:hRule="exact" w:val="4408"/>
              </w:trPr>
              <w:tc>
                <w:tcPr>
                  <w:tcW w:w="5000" w:type="pct"/>
                </w:tcPr>
                <w:p w:rsidR="00321C67" w:rsidRDefault="00B34C5A" w:rsidP="00B34C5A">
                  <w:r>
                    <w:rPr>
                      <w:noProof/>
                      <w:lang w:eastAsia="en-NZ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374015</wp:posOffset>
                        </wp:positionV>
                        <wp:extent cx="2423795" cy="1744980"/>
                        <wp:effectExtent l="0" t="0" r="0" b="7620"/>
                        <wp:wrapTight wrapText="bothSides">
                          <wp:wrapPolygon edited="0">
                            <wp:start x="0" y="0"/>
                            <wp:lineTo x="0" y="21459"/>
                            <wp:lineTo x="21391" y="21459"/>
                            <wp:lineTo x="21391" y="0"/>
                            <wp:lineTo x="0" y="0"/>
                          </wp:wrapPolygon>
                        </wp:wrapTight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فيل_0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3795" cy="17449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321C67" w:rsidTr="00A31EA6">
              <w:trPr>
                <w:trHeight w:hRule="exact" w:val="68"/>
              </w:trPr>
              <w:tc>
                <w:tcPr>
                  <w:tcW w:w="5000" w:type="pct"/>
                </w:tcPr>
                <w:p w:rsidR="00321C67" w:rsidRDefault="00321C67"/>
              </w:tc>
            </w:tr>
            <w:tr w:rsidR="00321C67" w:rsidTr="00A31EA6">
              <w:trPr>
                <w:trHeight w:hRule="exact" w:val="2479"/>
              </w:trPr>
              <w:tc>
                <w:tcPr>
                  <w:tcW w:w="5000" w:type="pct"/>
                  <w:shd w:val="clear" w:color="auto" w:fill="FF0000"/>
                </w:tcPr>
                <w:p w:rsidR="00A31EA6" w:rsidRDefault="00934FFC" w:rsidP="00934FFC">
                  <w:pPr>
                    <w:pStyle w:val="Title"/>
                    <w:jc w:val="center"/>
                    <w:rPr>
                      <w:sz w:val="36"/>
                      <w:szCs w:val="36"/>
                    </w:rPr>
                  </w:pPr>
                  <w:r w:rsidRPr="00B34C5A">
                    <w:rPr>
                      <w:sz w:val="36"/>
                      <w:szCs w:val="36"/>
                    </w:rPr>
                    <w:t>NCAST pARENT-CHILD INTERACTION FEEDING &amp; TEACHING sCALES TRAINING</w:t>
                  </w:r>
                  <w:r w:rsidR="00A31EA6">
                    <w:rPr>
                      <w:sz w:val="36"/>
                      <w:szCs w:val="36"/>
                    </w:rPr>
                    <w:t xml:space="preserve"> </w:t>
                  </w:r>
                </w:p>
                <w:p w:rsidR="00A31EA6" w:rsidRPr="00C1266A" w:rsidRDefault="00FB199E" w:rsidP="00C1266A">
                  <w:pPr>
                    <w:pStyle w:val="Title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2-4 &amp; 7-9</w:t>
                  </w:r>
                  <w:r w:rsidR="0031333D">
                    <w:rPr>
                      <w:sz w:val="36"/>
                      <w:szCs w:val="36"/>
                    </w:rPr>
                    <w:t xml:space="preserve"> AUGUST</w:t>
                  </w:r>
                </w:p>
                <w:p w:rsidR="00321C67" w:rsidRDefault="00321C67" w:rsidP="00C1266A">
                  <w:pPr>
                    <w:pStyle w:val="Title"/>
                    <w:ind w:left="0"/>
                    <w:rPr>
                      <w:sz w:val="36"/>
                      <w:szCs w:val="36"/>
                    </w:rPr>
                  </w:pPr>
                </w:p>
                <w:p w:rsidR="00A31EA6" w:rsidRPr="00A31EA6" w:rsidRDefault="00A31EA6" w:rsidP="00A31EA6"/>
                <w:p w:rsidR="00A31EA6" w:rsidRPr="00A31EA6" w:rsidRDefault="00A31EA6" w:rsidP="00A31EA6"/>
              </w:tc>
            </w:tr>
          </w:tbl>
          <w:p w:rsidR="00321C67" w:rsidRDefault="00B34C5A">
            <w:r>
              <w:rPr>
                <w:noProof/>
                <w:lang w:eastAsia="en-NZ"/>
              </w:rPr>
              <w:drawing>
                <wp:anchor distT="0" distB="0" distL="114300" distR="114300" simplePos="0" relativeHeight="251658240" behindDoc="1" locked="0" layoutInCell="1" allowOverlap="1" wp14:anchorId="1278DB56" wp14:editId="418335E7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-4502150</wp:posOffset>
                  </wp:positionV>
                  <wp:extent cx="1562100" cy="2122805"/>
                  <wp:effectExtent l="0" t="0" r="0" b="0"/>
                  <wp:wrapTight wrapText="bothSides">
                    <wp:wrapPolygon edited="0">
                      <wp:start x="0" y="0"/>
                      <wp:lineTo x="0" y="21322"/>
                      <wp:lineTo x="21337" y="21322"/>
                      <wp:lineTo x="21337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rangutan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057"/>
                          <a:stretch/>
                        </pic:blipFill>
                        <pic:spPr bwMode="auto">
                          <a:xfrm>
                            <a:off x="0" y="0"/>
                            <a:ext cx="1562100" cy="2122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21C67" w:rsidRDefault="00321C67">
      <w:pPr>
        <w:pStyle w:val="NoSpacing"/>
      </w:pPr>
    </w:p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2"/>
      </w:tblPr>
      <w:tblGrid>
        <w:gridCol w:w="3840"/>
        <w:gridCol w:w="713"/>
        <w:gridCol w:w="713"/>
        <w:gridCol w:w="3843"/>
        <w:gridCol w:w="720"/>
        <w:gridCol w:w="720"/>
        <w:gridCol w:w="3851"/>
      </w:tblGrid>
      <w:tr w:rsidR="00321C67">
        <w:trPr>
          <w:trHeight w:hRule="exact" w:val="10800"/>
          <w:jc w:val="center"/>
        </w:trPr>
        <w:tc>
          <w:tcPr>
            <w:tcW w:w="3840" w:type="dxa"/>
          </w:tcPr>
          <w:sdt>
            <w:sdtPr>
              <w:id w:val="-1941750188"/>
              <w:picture/>
            </w:sdtPr>
            <w:sdtEndPr/>
            <w:sdtContent>
              <w:p w:rsidR="00321C67" w:rsidRDefault="00DD77DC">
                <w:r w:rsidRPr="00DD77DC">
                  <w:rPr>
                    <w:noProof/>
                    <w:lang w:eastAsia="en-NZ"/>
                  </w:rPr>
                  <w:drawing>
                    <wp:inline distT="0" distB="0" distL="0" distR="0" wp14:anchorId="594E3ECF" wp14:editId="29CC7107">
                      <wp:extent cx="2301240" cy="1653416"/>
                      <wp:effectExtent l="0" t="0" r="3810" b="4445"/>
                      <wp:docPr id="16" name="Picture 5" descr="MontageCommunicati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155" name="Picture 5" descr="MontageCommunicatio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/>
                              <a:srcRect t="3400" b="475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12484" cy="16614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4E3517" w:rsidRPr="004E3517" w:rsidRDefault="004E3517" w:rsidP="00F357C5">
            <w:pPr>
              <w:rPr>
                <w:rFonts w:asciiTheme="majorHAnsi" w:hAnsiTheme="majorHAnsi"/>
                <w:sz w:val="42"/>
                <w:szCs w:val="4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42"/>
                <w:szCs w:val="42"/>
                <w:shd w:val="clear" w:color="auto" w:fill="FF0000"/>
              </w:rPr>
              <w:t>Learning Objectives:</w:t>
            </w:r>
            <w:r w:rsidRPr="004E3517">
              <w:rPr>
                <w:rFonts w:asciiTheme="majorHAnsi" w:hAnsiTheme="majorHAnsi"/>
                <w:sz w:val="42"/>
                <w:szCs w:val="42"/>
              </w:rPr>
              <w:t xml:space="preserve"> </w:t>
            </w:r>
          </w:p>
          <w:p w:rsidR="00F357C5" w:rsidRPr="00DC7514" w:rsidRDefault="00DC7514" w:rsidP="00F357C5">
            <w:pPr>
              <w:rPr>
                <w:rFonts w:asciiTheme="majorHAnsi" w:hAnsiTheme="majorHAnsi"/>
              </w:rPr>
            </w:pPr>
            <w:r w:rsidRPr="00DC7514">
              <w:rPr>
                <w:rFonts w:asciiTheme="majorHAnsi" w:hAnsiTheme="majorHAnsi"/>
              </w:rPr>
              <w:t>1. Understand</w:t>
            </w:r>
            <w:r w:rsidR="00F357C5" w:rsidRPr="00DC7514">
              <w:rPr>
                <w:rFonts w:asciiTheme="majorHAnsi" w:hAnsiTheme="majorHAnsi"/>
              </w:rPr>
              <w:t xml:space="preserve"> the background and development of the NCAST PCI Scales</w:t>
            </w:r>
            <w:r w:rsidRPr="00DC7514">
              <w:rPr>
                <w:rFonts w:asciiTheme="majorHAnsi" w:hAnsiTheme="majorHAnsi"/>
              </w:rPr>
              <w:t>;</w:t>
            </w:r>
          </w:p>
          <w:p w:rsidR="00F357C5" w:rsidRPr="00DC7514" w:rsidRDefault="00F357C5" w:rsidP="00F357C5">
            <w:pPr>
              <w:rPr>
                <w:rFonts w:asciiTheme="majorHAnsi" w:hAnsiTheme="majorHAnsi"/>
              </w:rPr>
            </w:pPr>
            <w:r w:rsidRPr="00DC7514">
              <w:rPr>
                <w:rFonts w:asciiTheme="majorHAnsi" w:hAnsiTheme="majorHAnsi"/>
              </w:rPr>
              <w:t>2. Understand difference between the infant’s engagement and disengagement</w:t>
            </w:r>
            <w:r w:rsidR="00FB199E">
              <w:rPr>
                <w:rFonts w:asciiTheme="majorHAnsi" w:hAnsiTheme="majorHAnsi"/>
              </w:rPr>
              <w:t>, subtle and potent</w:t>
            </w:r>
            <w:r w:rsidRPr="00DC7514">
              <w:rPr>
                <w:rFonts w:asciiTheme="majorHAnsi" w:hAnsiTheme="majorHAnsi"/>
              </w:rPr>
              <w:t xml:space="preserve"> cues</w:t>
            </w:r>
            <w:r w:rsidR="00DC7514" w:rsidRPr="00DC7514">
              <w:rPr>
                <w:rFonts w:asciiTheme="majorHAnsi" w:hAnsiTheme="majorHAnsi"/>
              </w:rPr>
              <w:t>;</w:t>
            </w:r>
          </w:p>
          <w:p w:rsidR="00F357C5" w:rsidRPr="00DC7514" w:rsidRDefault="00FB199E" w:rsidP="00F357C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 </w:t>
            </w:r>
            <w:r w:rsidR="00F357C5" w:rsidRPr="00DC7514">
              <w:rPr>
                <w:rFonts w:asciiTheme="majorHAnsi" w:hAnsiTheme="majorHAnsi"/>
              </w:rPr>
              <w:t>Explain the 6 subscales of the PCI Feeding Scale and Teaching Scale</w:t>
            </w:r>
            <w:r w:rsidR="00DC7514" w:rsidRPr="00DC7514">
              <w:rPr>
                <w:rFonts w:asciiTheme="majorHAnsi" w:hAnsiTheme="majorHAnsi"/>
              </w:rPr>
              <w:t>;</w:t>
            </w:r>
          </w:p>
          <w:p w:rsidR="00F357C5" w:rsidRPr="00DC7514" w:rsidRDefault="00FB199E" w:rsidP="00F357C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F357C5" w:rsidRPr="00DC7514">
              <w:rPr>
                <w:rFonts w:asciiTheme="majorHAnsi" w:hAnsiTheme="majorHAnsi"/>
              </w:rPr>
              <w:t>. Describe the meaning of the PCI Scales’ contingency score</w:t>
            </w:r>
            <w:r w:rsidR="00DC7514" w:rsidRPr="00DC7514">
              <w:rPr>
                <w:rFonts w:asciiTheme="majorHAnsi" w:hAnsiTheme="majorHAnsi"/>
              </w:rPr>
              <w:t>;</w:t>
            </w:r>
          </w:p>
          <w:p w:rsidR="00F357C5" w:rsidRPr="00DC7514" w:rsidRDefault="00FB199E" w:rsidP="00F357C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F357C5" w:rsidRPr="00DC7514">
              <w:rPr>
                <w:rFonts w:asciiTheme="majorHAnsi" w:hAnsiTheme="majorHAnsi"/>
              </w:rPr>
              <w:t>. View a feeding session and score all 76 Feeding Scale items</w:t>
            </w:r>
            <w:r w:rsidR="00DC7514" w:rsidRPr="00DC7514">
              <w:rPr>
                <w:rFonts w:asciiTheme="majorHAnsi" w:hAnsiTheme="majorHAnsi"/>
              </w:rPr>
              <w:t>;</w:t>
            </w:r>
          </w:p>
          <w:p w:rsidR="00F357C5" w:rsidRPr="00DC7514" w:rsidRDefault="00FB199E" w:rsidP="00F357C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F357C5" w:rsidRPr="00DC7514">
              <w:rPr>
                <w:rFonts w:asciiTheme="majorHAnsi" w:hAnsiTheme="majorHAnsi"/>
              </w:rPr>
              <w:t>. View a teaching session and score all 73 Teaching Scale items</w:t>
            </w:r>
            <w:r w:rsidR="00DC7514" w:rsidRPr="00DC7514">
              <w:rPr>
                <w:rFonts w:asciiTheme="majorHAnsi" w:hAnsiTheme="majorHAnsi"/>
              </w:rPr>
              <w:t>;</w:t>
            </w:r>
          </w:p>
          <w:p w:rsidR="00F357C5" w:rsidRPr="00DC7514" w:rsidRDefault="00FB199E" w:rsidP="00F357C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F357C5" w:rsidRPr="00DC7514">
              <w:rPr>
                <w:rFonts w:asciiTheme="majorHAnsi" w:hAnsiTheme="majorHAnsi"/>
              </w:rPr>
              <w:t>. Complete and calculate the scoring on PCI Feeding and / or Teaching Scale</w:t>
            </w:r>
            <w:r w:rsidR="00DC7514" w:rsidRPr="00DC7514">
              <w:rPr>
                <w:rFonts w:asciiTheme="majorHAnsi" w:hAnsiTheme="majorHAnsi"/>
              </w:rPr>
              <w:t>;</w:t>
            </w:r>
          </w:p>
          <w:p w:rsidR="00F357C5" w:rsidRPr="00DC7514" w:rsidRDefault="00FB199E" w:rsidP="00F357C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 w:rsidR="00F357C5" w:rsidRPr="00DC7514">
              <w:rPr>
                <w:rFonts w:asciiTheme="majorHAnsi" w:hAnsiTheme="majorHAnsi"/>
              </w:rPr>
              <w:t>. Complete the NCAST PCI Feeding and Teaching Scales reliability for submission to NCAST @ the University of Washington</w:t>
            </w:r>
            <w:r w:rsidR="00DC7514" w:rsidRPr="00DC7514">
              <w:rPr>
                <w:rFonts w:asciiTheme="majorHAnsi" w:hAnsiTheme="majorHAnsi"/>
              </w:rPr>
              <w:t>.</w:t>
            </w:r>
            <w:r w:rsidR="000B02E9">
              <w:rPr>
                <w:rFonts w:asciiTheme="majorHAnsi" w:hAnsiTheme="majorHAnsi"/>
              </w:rPr>
              <w:t xml:space="preserve"> (Reliability re-certification is required annually)</w:t>
            </w:r>
          </w:p>
          <w:p w:rsidR="00F357C5" w:rsidRDefault="00F357C5" w:rsidP="00F357C5"/>
          <w:p w:rsidR="00F357C5" w:rsidRDefault="00F357C5" w:rsidP="00F357C5"/>
          <w:p w:rsidR="00F357C5" w:rsidRDefault="00F357C5" w:rsidP="00F357C5"/>
          <w:p w:rsidR="00F357C5" w:rsidRDefault="00F357C5" w:rsidP="00F357C5"/>
          <w:p w:rsidR="00F357C5" w:rsidRDefault="00F357C5" w:rsidP="00F357C5"/>
          <w:p w:rsidR="00F357C5" w:rsidRDefault="00F357C5" w:rsidP="00F357C5"/>
          <w:p w:rsidR="00F357C5" w:rsidRDefault="00F357C5" w:rsidP="00F357C5"/>
          <w:p w:rsidR="00F357C5" w:rsidRDefault="00F357C5" w:rsidP="00F357C5"/>
          <w:p w:rsidR="00F357C5" w:rsidRDefault="00F357C5" w:rsidP="00F357C5"/>
          <w:p w:rsidR="00F357C5" w:rsidRDefault="00F357C5" w:rsidP="00F357C5"/>
          <w:p w:rsidR="00F357C5" w:rsidRDefault="00F357C5" w:rsidP="00F357C5"/>
          <w:p w:rsidR="00F357C5" w:rsidRDefault="00F357C5" w:rsidP="00F357C5"/>
          <w:p w:rsidR="00F357C5" w:rsidRDefault="00F357C5" w:rsidP="00F357C5"/>
          <w:p w:rsidR="00F357C5" w:rsidRDefault="00F357C5" w:rsidP="00F357C5"/>
          <w:p w:rsidR="00F357C5" w:rsidRDefault="00F357C5" w:rsidP="00F357C5"/>
          <w:p w:rsidR="00F357C5" w:rsidRDefault="00F357C5" w:rsidP="00F357C5"/>
          <w:p w:rsidR="00F357C5" w:rsidRDefault="00F357C5" w:rsidP="00F357C5"/>
          <w:p w:rsidR="00F357C5" w:rsidRDefault="00F357C5" w:rsidP="00F357C5"/>
          <w:p w:rsidR="00F357C5" w:rsidRDefault="00F357C5" w:rsidP="00F357C5"/>
          <w:p w:rsidR="00F357C5" w:rsidRDefault="00F357C5" w:rsidP="00F357C5"/>
          <w:p w:rsidR="00F357C5" w:rsidRDefault="00F357C5" w:rsidP="00F357C5"/>
          <w:p w:rsidR="00F357C5" w:rsidRPr="00F357C5" w:rsidRDefault="00F357C5" w:rsidP="00F357C5"/>
          <w:p w:rsidR="006943D6" w:rsidRDefault="006943D6" w:rsidP="001E452D">
            <w:pPr>
              <w:rPr>
                <w:rFonts w:asciiTheme="majorHAnsi" w:hAnsiTheme="majorHAnsi"/>
              </w:rPr>
            </w:pPr>
          </w:p>
          <w:p w:rsidR="006943D6" w:rsidRDefault="006943D6" w:rsidP="001E452D">
            <w:pPr>
              <w:rPr>
                <w:rFonts w:asciiTheme="majorHAnsi" w:hAnsiTheme="majorHAnsi"/>
              </w:rPr>
            </w:pPr>
          </w:p>
          <w:p w:rsidR="006943D6" w:rsidRDefault="006943D6" w:rsidP="001E452D">
            <w:pPr>
              <w:rPr>
                <w:rFonts w:asciiTheme="majorHAnsi" w:hAnsiTheme="majorHAnsi"/>
              </w:rPr>
            </w:pPr>
          </w:p>
          <w:p w:rsidR="001E452D" w:rsidRPr="001E452D" w:rsidRDefault="001E452D" w:rsidP="001E452D"/>
        </w:tc>
        <w:tc>
          <w:tcPr>
            <w:tcW w:w="713" w:type="dxa"/>
          </w:tcPr>
          <w:p w:rsidR="00321C67" w:rsidRDefault="00321C67"/>
        </w:tc>
        <w:tc>
          <w:tcPr>
            <w:tcW w:w="713" w:type="dxa"/>
          </w:tcPr>
          <w:p w:rsidR="00321C67" w:rsidRDefault="00321C67"/>
        </w:tc>
        <w:tc>
          <w:tcPr>
            <w:tcW w:w="3843" w:type="dxa"/>
          </w:tcPr>
          <w:p w:rsidR="004E3517" w:rsidRPr="00CA2D87" w:rsidRDefault="004E3517" w:rsidP="00F357C5">
            <w:pPr>
              <w:rPr>
                <w:rFonts w:asciiTheme="majorHAnsi" w:hAnsiTheme="majorHAnsi"/>
                <w:color w:val="auto"/>
                <w:sz w:val="36"/>
                <w:szCs w:val="36"/>
              </w:rPr>
            </w:pPr>
            <w:r>
              <w:rPr>
                <w:color w:val="FFFFFF" w:themeColor="background1"/>
                <w:shd w:val="clear" w:color="auto" w:fill="FF0000"/>
              </w:rPr>
              <w:t xml:space="preserve"> </w:t>
            </w:r>
            <w:r w:rsidRPr="00CA2D87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  <w:shd w:val="clear" w:color="auto" w:fill="FF0000"/>
              </w:rPr>
              <w:t>About the Training:</w:t>
            </w:r>
            <w:r w:rsidRPr="00CA2D87">
              <w:rPr>
                <w:rFonts w:asciiTheme="majorHAnsi" w:hAnsiTheme="majorHAnsi"/>
                <w:color w:val="auto"/>
                <w:sz w:val="36"/>
                <w:szCs w:val="36"/>
              </w:rPr>
              <w:t xml:space="preserve"> </w:t>
            </w:r>
          </w:p>
          <w:p w:rsidR="00DD77DC" w:rsidRDefault="00DD77DC" w:rsidP="00F357C5">
            <w:pPr>
              <w:rPr>
                <w:color w:val="auto"/>
              </w:rPr>
            </w:pPr>
            <w:r w:rsidRPr="00DC7514">
              <w:rPr>
                <w:rFonts w:asciiTheme="majorHAnsi" w:hAnsiTheme="majorHAnsi"/>
                <w:color w:val="auto"/>
              </w:rPr>
              <w:t>The NCAST Parent-Child Interaction (PCI)</w:t>
            </w:r>
            <w:r>
              <w:rPr>
                <w:color w:val="auto"/>
              </w:rPr>
              <w:t xml:space="preserve"> </w:t>
            </w:r>
            <w:r w:rsidRPr="00DC7514">
              <w:rPr>
                <w:rFonts w:asciiTheme="majorHAnsi" w:hAnsiTheme="majorHAnsi"/>
                <w:color w:val="auto"/>
              </w:rPr>
              <w:t>Feeding and Teaching Scales are valid and reliable measures that allow professionals to assess both the dyad’s strengths and vulnerability.</w:t>
            </w:r>
            <w:r>
              <w:rPr>
                <w:color w:val="auto"/>
              </w:rPr>
              <w:t xml:space="preserve">  </w:t>
            </w:r>
          </w:p>
          <w:p w:rsidR="00DD77DC" w:rsidRPr="00DC7514" w:rsidRDefault="00DD77DC" w:rsidP="00F357C5">
            <w:pPr>
              <w:rPr>
                <w:rFonts w:asciiTheme="majorHAnsi" w:hAnsiTheme="majorHAnsi"/>
                <w:color w:val="auto"/>
              </w:rPr>
            </w:pPr>
            <w:r w:rsidRPr="00DC7514">
              <w:rPr>
                <w:rFonts w:asciiTheme="majorHAnsi" w:hAnsiTheme="majorHAnsi"/>
                <w:color w:val="auto"/>
              </w:rPr>
              <w:t>The scales are used clinically and for research, the scales contain a well -developed set of observable behaviours that typically occur within the context of a feeding situation (0-12 months) and teaching encounters (0-3 years).</w:t>
            </w:r>
            <w:r w:rsidR="00CA2D87">
              <w:rPr>
                <w:rFonts w:asciiTheme="majorHAnsi" w:hAnsiTheme="majorHAnsi"/>
                <w:color w:val="auto"/>
              </w:rPr>
              <w:t xml:space="preserve"> </w:t>
            </w:r>
            <w:r w:rsidRPr="00DC7514">
              <w:rPr>
                <w:rFonts w:asciiTheme="majorHAnsi" w:hAnsiTheme="majorHAnsi"/>
                <w:color w:val="auto"/>
              </w:rPr>
              <w:t xml:space="preserve">The Scales are used within the legal system in the USA in dealing with child abuse, custody and neglect cases.  </w:t>
            </w:r>
          </w:p>
          <w:p w:rsidR="000B02E9" w:rsidRDefault="00DD77DC" w:rsidP="000B02E9">
            <w:pPr>
              <w:rPr>
                <w:rFonts w:asciiTheme="majorHAnsi" w:hAnsiTheme="majorHAnsi"/>
                <w:color w:val="auto"/>
              </w:rPr>
            </w:pPr>
            <w:r w:rsidRPr="00DC7514">
              <w:rPr>
                <w:rFonts w:asciiTheme="majorHAnsi" w:hAnsiTheme="majorHAnsi"/>
                <w:color w:val="auto"/>
              </w:rPr>
              <w:t>The scores on both the Feeding and Teaching Scales show a significant correlation with the child’s subsequent measures of cognitive abilities.</w:t>
            </w:r>
          </w:p>
          <w:p w:rsidR="00DD77DC" w:rsidRPr="00CA2D87" w:rsidRDefault="004E3517" w:rsidP="000B02E9">
            <w:pPr>
              <w:jc w:val="center"/>
              <w:rPr>
                <w:rFonts w:asciiTheme="majorHAnsi" w:hAnsiTheme="majorHAnsi"/>
                <w:color w:val="auto"/>
              </w:rPr>
            </w:pPr>
            <w:r w:rsidRPr="00CA2D87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shd w:val="clear" w:color="auto" w:fill="FF0000"/>
              </w:rPr>
              <w:t>Registration Fee:</w:t>
            </w:r>
          </w:p>
          <w:p w:rsidR="00DD77DC" w:rsidRPr="00CA2D87" w:rsidRDefault="00DD77DC" w:rsidP="00DD77DC">
            <w:pPr>
              <w:jc w:val="center"/>
              <w:rPr>
                <w:rFonts w:asciiTheme="majorHAnsi" w:hAnsiTheme="majorHAnsi"/>
                <w:b/>
                <w:color w:val="FF0000"/>
                <w:sz w:val="26"/>
                <w:szCs w:val="26"/>
              </w:rPr>
            </w:pPr>
            <w:r w:rsidRPr="00CA2D87">
              <w:rPr>
                <w:rFonts w:asciiTheme="majorHAnsi" w:hAnsiTheme="majorHAnsi"/>
                <w:b/>
                <w:color w:val="FF0000"/>
                <w:sz w:val="26"/>
                <w:szCs w:val="26"/>
              </w:rPr>
              <w:t xml:space="preserve">$650 for 3-day (Feeding </w:t>
            </w:r>
            <w:r w:rsidR="00FB199E">
              <w:rPr>
                <w:rFonts w:asciiTheme="majorHAnsi" w:hAnsiTheme="majorHAnsi"/>
                <w:b/>
                <w:color w:val="FF0000"/>
                <w:sz w:val="26"/>
                <w:szCs w:val="26"/>
              </w:rPr>
              <w:t>2-4</w:t>
            </w:r>
            <w:r w:rsidR="0031333D">
              <w:rPr>
                <w:rFonts w:asciiTheme="majorHAnsi" w:hAnsiTheme="majorHAnsi"/>
                <w:b/>
                <w:color w:val="FF0000"/>
                <w:sz w:val="26"/>
                <w:szCs w:val="26"/>
              </w:rPr>
              <w:t xml:space="preserve"> August </w:t>
            </w:r>
            <w:r w:rsidRPr="00CA2D87">
              <w:rPr>
                <w:rFonts w:asciiTheme="majorHAnsi" w:hAnsiTheme="majorHAnsi"/>
                <w:b/>
                <w:color w:val="FF0000"/>
                <w:sz w:val="26"/>
                <w:szCs w:val="26"/>
                <w:u w:val="single"/>
              </w:rPr>
              <w:t xml:space="preserve">or </w:t>
            </w:r>
            <w:r w:rsidRPr="00CA2D87">
              <w:rPr>
                <w:rFonts w:asciiTheme="majorHAnsi" w:hAnsiTheme="majorHAnsi"/>
                <w:b/>
                <w:color w:val="FF0000"/>
                <w:sz w:val="26"/>
                <w:szCs w:val="26"/>
              </w:rPr>
              <w:t>Teaching Scale</w:t>
            </w:r>
            <w:r w:rsidR="00FB199E">
              <w:rPr>
                <w:rFonts w:asciiTheme="majorHAnsi" w:hAnsiTheme="majorHAnsi"/>
                <w:b/>
                <w:color w:val="FF0000"/>
                <w:sz w:val="26"/>
                <w:szCs w:val="26"/>
              </w:rPr>
              <w:t xml:space="preserve"> 7-9</w:t>
            </w:r>
            <w:r w:rsidR="0031333D">
              <w:rPr>
                <w:rFonts w:asciiTheme="majorHAnsi" w:hAnsiTheme="majorHAnsi"/>
                <w:b/>
                <w:color w:val="FF0000"/>
                <w:sz w:val="26"/>
                <w:szCs w:val="26"/>
              </w:rPr>
              <w:t xml:space="preserve"> August</w:t>
            </w:r>
            <w:r w:rsidRPr="00CA2D87">
              <w:rPr>
                <w:rFonts w:asciiTheme="majorHAnsi" w:hAnsiTheme="majorHAnsi"/>
                <w:b/>
                <w:color w:val="FF0000"/>
                <w:sz w:val="26"/>
                <w:szCs w:val="26"/>
              </w:rPr>
              <w:t>)</w:t>
            </w:r>
          </w:p>
          <w:p w:rsidR="00DD77DC" w:rsidRDefault="00DD77DC" w:rsidP="00DD77DC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CA2D87">
              <w:rPr>
                <w:rFonts w:asciiTheme="majorHAnsi" w:hAnsiTheme="majorHAnsi"/>
                <w:b/>
                <w:color w:val="FF0000"/>
                <w:sz w:val="26"/>
                <w:szCs w:val="26"/>
              </w:rPr>
              <w:t xml:space="preserve">$1200 for 6-day (Feeding </w:t>
            </w:r>
            <w:r w:rsidRPr="00CA2D87">
              <w:rPr>
                <w:rFonts w:asciiTheme="majorHAnsi" w:hAnsiTheme="majorHAnsi"/>
                <w:b/>
                <w:color w:val="FF0000"/>
                <w:sz w:val="26"/>
                <w:szCs w:val="26"/>
                <w:u w:val="single"/>
              </w:rPr>
              <w:t>and</w:t>
            </w:r>
            <w:r w:rsidRPr="00CA2D87">
              <w:rPr>
                <w:rFonts w:asciiTheme="majorHAnsi" w:hAnsiTheme="majorHAnsi"/>
                <w:b/>
                <w:color w:val="FF0000"/>
                <w:sz w:val="26"/>
                <w:szCs w:val="26"/>
              </w:rPr>
              <w:t xml:space="preserve"> Teaching Scales)</w:t>
            </w:r>
          </w:p>
          <w:p w:rsidR="00CA2D87" w:rsidRDefault="00CA2D87" w:rsidP="00107892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CA2D87">
              <w:rPr>
                <w:rFonts w:asciiTheme="majorHAnsi" w:hAnsiTheme="majorHAnsi"/>
                <w:color w:val="FF0000"/>
                <w:sz w:val="18"/>
                <w:szCs w:val="18"/>
              </w:rPr>
              <w:t>Includes: Feeding Manual, Feeding Scale</w:t>
            </w:r>
            <w:r>
              <w:rPr>
                <w:rFonts w:asciiTheme="majorHAnsi" w:hAnsiTheme="majorHAnsi"/>
                <w:color w:val="FF0000"/>
                <w:sz w:val="18"/>
                <w:szCs w:val="18"/>
              </w:rPr>
              <w:t xml:space="preserve"> Pad &amp; Certification. </w:t>
            </w:r>
            <w:r w:rsidRPr="00CA2D87">
              <w:rPr>
                <w:rFonts w:asciiTheme="majorHAnsi" w:hAnsiTheme="majorHAnsi"/>
                <w:color w:val="FF0000"/>
                <w:sz w:val="18"/>
                <w:szCs w:val="18"/>
              </w:rPr>
              <w:t>Teaching Manua</w:t>
            </w:r>
            <w:r w:rsidR="000B02E9">
              <w:rPr>
                <w:rFonts w:asciiTheme="majorHAnsi" w:hAnsiTheme="majorHAnsi"/>
                <w:color w:val="FF0000"/>
                <w:sz w:val="18"/>
                <w:szCs w:val="18"/>
              </w:rPr>
              <w:t>l, Teaching Scale Pad,</w:t>
            </w:r>
            <w:r w:rsidRPr="00CA2D87">
              <w:rPr>
                <w:rFonts w:asciiTheme="majorHAnsi" w:hAnsiTheme="majorHAnsi"/>
                <w:color w:val="FF0000"/>
                <w:sz w:val="18"/>
                <w:szCs w:val="18"/>
              </w:rPr>
              <w:t xml:space="preserve"> Teaching Kit &amp; Certification</w:t>
            </w:r>
          </w:p>
          <w:p w:rsidR="00107892" w:rsidRPr="00CA2D87" w:rsidRDefault="00107892" w:rsidP="00107892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CA2D87">
              <w:rPr>
                <w:rFonts w:asciiTheme="majorHAnsi" w:hAnsiTheme="majorHAnsi"/>
                <w:color w:val="auto"/>
                <w:sz w:val="18"/>
                <w:szCs w:val="18"/>
              </w:rPr>
              <w:t>A further day may be r</w:t>
            </w:r>
            <w:r w:rsidR="00F302CB" w:rsidRPr="00CA2D87">
              <w:rPr>
                <w:rFonts w:asciiTheme="majorHAnsi" w:hAnsiTheme="majorHAnsi"/>
                <w:color w:val="auto"/>
                <w:sz w:val="18"/>
                <w:szCs w:val="18"/>
              </w:rPr>
              <w:t>equired for repeat reliability certification</w:t>
            </w:r>
            <w:r w:rsidRPr="00CA2D87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for each scale should this be needed.</w:t>
            </w:r>
          </w:p>
          <w:p w:rsidR="00DD77DC" w:rsidRPr="00DD77DC" w:rsidRDefault="00CA2D87" w:rsidP="00CA2D87">
            <w:pPr>
              <w:rPr>
                <w:rFonts w:asciiTheme="majorHAnsi" w:hAnsiTheme="majorHAnsi"/>
                <w:b/>
                <w:color w:val="FF0000"/>
                <w:sz w:val="32"/>
                <w:szCs w:val="32"/>
              </w:rPr>
            </w:pPr>
            <w:r w:rsidRPr="00DD77DC"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321C67" w:rsidRDefault="00321C67"/>
          <w:p w:rsidR="00DD77DC" w:rsidRDefault="00DD77DC"/>
        </w:tc>
        <w:tc>
          <w:tcPr>
            <w:tcW w:w="720" w:type="dxa"/>
          </w:tcPr>
          <w:p w:rsidR="00321C67" w:rsidRDefault="00321C67"/>
        </w:tc>
        <w:tc>
          <w:tcPr>
            <w:tcW w:w="3851" w:type="dxa"/>
          </w:tcPr>
          <w:sdt>
            <w:sdtPr>
              <w:rPr>
                <w:noProof/>
                <w:lang w:eastAsia="en-NZ"/>
              </w:rPr>
              <w:id w:val="1665123103"/>
              <w:picture/>
            </w:sdtPr>
            <w:sdtEndPr/>
            <w:sdtContent>
              <w:p w:rsidR="00321C67" w:rsidRDefault="0051152F" w:rsidP="0051152F">
                <w:pPr>
                  <w:jc w:val="center"/>
                </w:pPr>
                <w:r>
                  <w:rPr>
                    <w:noProof/>
                    <w:lang w:eastAsia="en-NZ"/>
                  </w:rPr>
                  <w:drawing>
                    <wp:inline distT="0" distB="0" distL="0" distR="0" wp14:anchorId="6DF3E277" wp14:editId="4043D2F6">
                      <wp:extent cx="1025074" cy="1222826"/>
                      <wp:effectExtent l="0" t="3493" r="318" b="317"/>
                      <wp:docPr id="1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4862" t="53003" r="33287" b="12986"/>
                              <a:stretch/>
                            </pic:blipFill>
                            <pic:spPr bwMode="auto">
                              <a:xfrm rot="5400000">
                                <a:off x="0" y="0"/>
                                <a:ext cx="1079256" cy="128746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FB199E" w:rsidRPr="00FB199E" w:rsidRDefault="0051152F" w:rsidP="00897AD2">
            <w:pPr>
              <w:rPr>
                <w:rFonts w:cstheme="majorHAnsi"/>
                <w:color w:val="auto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 xml:space="preserve">Registration </w:t>
            </w:r>
            <w:r w:rsidR="00FB199E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 xml:space="preserve">Early Bird: B4 1 May </w:t>
            </w:r>
            <w:r w:rsidRPr="00F302CB">
              <w:rPr>
                <w:rFonts w:asciiTheme="majorHAnsi" w:hAnsiTheme="majorHAnsi"/>
                <w:b/>
                <w:color w:val="FF0000"/>
                <w:sz w:val="26"/>
                <w:szCs w:val="26"/>
              </w:rPr>
              <w:t>Registration Fee: $650/$120</w:t>
            </w:r>
            <w:r w:rsidR="00F302CB" w:rsidRPr="00F302CB">
              <w:rPr>
                <w:rFonts w:asciiTheme="majorHAnsi" w:hAnsiTheme="majorHAnsi"/>
                <w:b/>
                <w:color w:val="FF0000"/>
                <w:sz w:val="26"/>
                <w:szCs w:val="26"/>
              </w:rPr>
              <w:t>0</w:t>
            </w:r>
            <w:r w:rsidRPr="00F302CB">
              <w:rPr>
                <w:rFonts w:asciiTheme="majorHAnsi" w:hAnsiTheme="majorHAnsi"/>
                <w:b/>
                <w:color w:val="FF0000"/>
                <w:sz w:val="26"/>
                <w:szCs w:val="26"/>
              </w:rPr>
              <w:t>*</w:t>
            </w:r>
            <w:proofErr w:type="spellStart"/>
            <w:r w:rsidR="00CA2D87">
              <w:rPr>
                <w:color w:val="auto"/>
                <w:sz w:val="12"/>
                <w:szCs w:val="12"/>
              </w:rPr>
              <w:t>incl</w:t>
            </w:r>
            <w:proofErr w:type="spellEnd"/>
            <w:r w:rsidR="00CA2D87">
              <w:rPr>
                <w:color w:val="auto"/>
                <w:sz w:val="12"/>
                <w:szCs w:val="12"/>
              </w:rPr>
              <w:t xml:space="preserve"> GST</w:t>
            </w:r>
            <w:r w:rsidR="00FB199E">
              <w:rPr>
                <w:color w:val="auto"/>
                <w:sz w:val="12"/>
                <w:szCs w:val="12"/>
              </w:rPr>
              <w:t xml:space="preserve"> </w:t>
            </w:r>
            <w:r w:rsidR="00FB199E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After 1 May - $700/$1300*</w:t>
            </w:r>
            <w:r w:rsidR="00FB199E">
              <w:rPr>
                <w:rFonts w:cstheme="majorHAnsi"/>
                <w:color w:val="auto"/>
                <w:sz w:val="12"/>
                <w:szCs w:val="12"/>
              </w:rPr>
              <w:t xml:space="preserve"> </w:t>
            </w:r>
            <w:proofErr w:type="spellStart"/>
            <w:r w:rsidR="00FB199E">
              <w:rPr>
                <w:rFonts w:cstheme="majorHAnsi"/>
                <w:color w:val="auto"/>
                <w:sz w:val="12"/>
                <w:szCs w:val="12"/>
              </w:rPr>
              <w:t>incl</w:t>
            </w:r>
            <w:proofErr w:type="spellEnd"/>
            <w:r w:rsidR="00FB199E">
              <w:rPr>
                <w:rFonts w:cstheme="majorHAnsi"/>
                <w:color w:val="auto"/>
                <w:sz w:val="12"/>
                <w:szCs w:val="12"/>
              </w:rPr>
              <w:t xml:space="preserve"> GST</w:t>
            </w:r>
          </w:p>
          <w:p w:rsidR="0051152F" w:rsidRPr="00DC7514" w:rsidRDefault="0051152F" w:rsidP="00897AD2">
            <w:pPr>
              <w:rPr>
                <w:b/>
                <w:color w:val="auto"/>
                <w:sz w:val="16"/>
                <w:szCs w:val="16"/>
              </w:rPr>
            </w:pPr>
            <w:r w:rsidRPr="00DC7514">
              <w:rPr>
                <w:color w:val="auto"/>
                <w:sz w:val="16"/>
                <w:szCs w:val="16"/>
              </w:rPr>
              <w:t xml:space="preserve">Payable to: </w:t>
            </w:r>
            <w:r w:rsidRPr="00DC7514">
              <w:rPr>
                <w:b/>
                <w:color w:val="auto"/>
                <w:sz w:val="16"/>
                <w:szCs w:val="16"/>
              </w:rPr>
              <w:t>ITS INFANT, TODDLER SPECIALISTS LTD</w:t>
            </w:r>
          </w:p>
          <w:p w:rsidR="00897AD2" w:rsidRPr="00DC7514" w:rsidRDefault="00897AD2" w:rsidP="00897AD2">
            <w:pPr>
              <w:rPr>
                <w:color w:val="auto"/>
                <w:sz w:val="16"/>
                <w:szCs w:val="16"/>
              </w:rPr>
            </w:pPr>
            <w:r w:rsidRPr="00DC7514">
              <w:rPr>
                <w:color w:val="auto"/>
                <w:sz w:val="16"/>
                <w:szCs w:val="16"/>
              </w:rPr>
              <w:t>Payment by bank transfer or cheque only:</w:t>
            </w:r>
          </w:p>
          <w:p w:rsidR="00897AD2" w:rsidRPr="00DC7514" w:rsidRDefault="00897AD2" w:rsidP="00897AD2">
            <w:pPr>
              <w:rPr>
                <w:b/>
                <w:color w:val="auto"/>
              </w:rPr>
            </w:pPr>
            <w:r w:rsidRPr="00DC7514">
              <w:rPr>
                <w:color w:val="auto"/>
                <w:sz w:val="16"/>
                <w:szCs w:val="16"/>
              </w:rPr>
              <w:t xml:space="preserve">Bank Account Details:  </w:t>
            </w:r>
            <w:r w:rsidRPr="00DC7514">
              <w:rPr>
                <w:b/>
                <w:color w:val="auto"/>
              </w:rPr>
              <w:t>38-9017-0178228-00</w:t>
            </w:r>
          </w:p>
          <w:p w:rsidR="0051152F" w:rsidRPr="00DC7514" w:rsidRDefault="0051152F" w:rsidP="0051152F">
            <w:pPr>
              <w:rPr>
                <w:color w:val="auto"/>
              </w:rPr>
            </w:pPr>
            <w:r w:rsidRPr="00DC7514">
              <w:rPr>
                <w:color w:val="auto"/>
                <w:sz w:val="18"/>
                <w:szCs w:val="18"/>
                <w:u w:val="single"/>
              </w:rPr>
              <w:t>REGISTRATION INSTRUCTIONS:</w:t>
            </w:r>
            <w:r w:rsidRPr="00DC7514">
              <w:rPr>
                <w:color w:val="auto"/>
                <w:sz w:val="18"/>
                <w:szCs w:val="18"/>
              </w:rPr>
              <w:t xml:space="preserve"> Regi</w:t>
            </w:r>
            <w:r w:rsidR="00897AD2" w:rsidRPr="00DC7514">
              <w:rPr>
                <w:color w:val="auto"/>
                <w:sz w:val="18"/>
                <w:szCs w:val="18"/>
              </w:rPr>
              <w:t>stration forms to be emailed to:</w:t>
            </w:r>
            <w:r w:rsidR="00897AD2" w:rsidRPr="00DC7514">
              <w:rPr>
                <w:color w:val="auto"/>
              </w:rPr>
              <w:t xml:space="preserve"> </w:t>
            </w:r>
            <w:r w:rsidRPr="00DC7514">
              <w:rPr>
                <w:b/>
                <w:color w:val="auto"/>
              </w:rPr>
              <w:t>its_sarah.heidi@yahoo.co.nz</w:t>
            </w:r>
          </w:p>
          <w:p w:rsidR="0051152F" w:rsidRPr="00DC7514" w:rsidRDefault="0051152F" w:rsidP="0051152F">
            <w:pPr>
              <w:rPr>
                <w:b/>
                <w:color w:val="auto"/>
                <w:sz w:val="16"/>
                <w:szCs w:val="16"/>
              </w:rPr>
            </w:pPr>
            <w:r w:rsidRPr="00DC7514">
              <w:rPr>
                <w:b/>
                <w:color w:val="auto"/>
                <w:sz w:val="16"/>
                <w:szCs w:val="16"/>
              </w:rPr>
              <w:t>First Name:__________________________________________________</w:t>
            </w:r>
          </w:p>
          <w:p w:rsidR="0051152F" w:rsidRPr="00DC7514" w:rsidRDefault="0051152F" w:rsidP="0051152F">
            <w:pPr>
              <w:rPr>
                <w:b/>
                <w:color w:val="auto"/>
                <w:sz w:val="16"/>
                <w:szCs w:val="16"/>
              </w:rPr>
            </w:pPr>
            <w:r w:rsidRPr="00DC7514">
              <w:rPr>
                <w:b/>
                <w:color w:val="auto"/>
                <w:sz w:val="16"/>
                <w:szCs w:val="16"/>
              </w:rPr>
              <w:t>Last Name:___________________________________________________</w:t>
            </w:r>
          </w:p>
          <w:p w:rsidR="0051152F" w:rsidRPr="00DC7514" w:rsidRDefault="0051152F" w:rsidP="0051152F">
            <w:pPr>
              <w:rPr>
                <w:b/>
                <w:color w:val="auto"/>
                <w:sz w:val="16"/>
                <w:szCs w:val="16"/>
              </w:rPr>
            </w:pPr>
            <w:r w:rsidRPr="00DC7514">
              <w:rPr>
                <w:b/>
                <w:color w:val="auto"/>
                <w:sz w:val="16"/>
                <w:szCs w:val="16"/>
              </w:rPr>
              <w:t>Profession:__________________________________________________</w:t>
            </w:r>
          </w:p>
          <w:p w:rsidR="0051152F" w:rsidRPr="00DC7514" w:rsidRDefault="0051152F" w:rsidP="0051152F">
            <w:pPr>
              <w:rPr>
                <w:b/>
                <w:color w:val="auto"/>
                <w:sz w:val="16"/>
                <w:szCs w:val="16"/>
              </w:rPr>
            </w:pPr>
            <w:r w:rsidRPr="00DC7514">
              <w:rPr>
                <w:b/>
                <w:color w:val="auto"/>
                <w:sz w:val="16"/>
                <w:szCs w:val="16"/>
              </w:rPr>
              <w:t>Professional Registration No:____________________________</w:t>
            </w:r>
          </w:p>
          <w:p w:rsidR="0051152F" w:rsidRPr="00DC7514" w:rsidRDefault="0051152F" w:rsidP="0051152F">
            <w:pPr>
              <w:rPr>
                <w:b/>
                <w:color w:val="auto"/>
                <w:sz w:val="16"/>
                <w:szCs w:val="16"/>
              </w:rPr>
            </w:pPr>
            <w:r w:rsidRPr="00DC7514">
              <w:rPr>
                <w:b/>
                <w:color w:val="auto"/>
                <w:sz w:val="16"/>
                <w:szCs w:val="16"/>
              </w:rPr>
              <w:t>Work Setting:_______________________________________________</w:t>
            </w:r>
          </w:p>
          <w:p w:rsidR="0051152F" w:rsidRPr="00DC7514" w:rsidRDefault="00897AD2" w:rsidP="0051152F">
            <w:pPr>
              <w:rPr>
                <w:b/>
                <w:color w:val="auto"/>
                <w:sz w:val="16"/>
                <w:szCs w:val="16"/>
              </w:rPr>
            </w:pPr>
            <w:r w:rsidRPr="00DC7514">
              <w:rPr>
                <w:b/>
                <w:color w:val="auto"/>
                <w:sz w:val="16"/>
                <w:szCs w:val="16"/>
              </w:rPr>
              <w:t>Address:______________________________________________________________________________________________________________________</w:t>
            </w:r>
          </w:p>
          <w:p w:rsidR="00897AD2" w:rsidRPr="00DC7514" w:rsidRDefault="00897AD2" w:rsidP="0051152F">
            <w:pPr>
              <w:rPr>
                <w:b/>
                <w:color w:val="auto"/>
                <w:sz w:val="16"/>
                <w:szCs w:val="16"/>
              </w:rPr>
            </w:pPr>
            <w:r w:rsidRPr="00DC7514">
              <w:rPr>
                <w:b/>
                <w:color w:val="auto"/>
                <w:sz w:val="16"/>
                <w:szCs w:val="16"/>
              </w:rPr>
              <w:t>Phone No:____________________________________________________</w:t>
            </w:r>
          </w:p>
          <w:p w:rsidR="00897AD2" w:rsidRPr="00DC7514" w:rsidRDefault="00897AD2" w:rsidP="0051152F">
            <w:pPr>
              <w:rPr>
                <w:b/>
                <w:color w:val="auto"/>
                <w:sz w:val="16"/>
                <w:szCs w:val="16"/>
              </w:rPr>
            </w:pPr>
            <w:r w:rsidRPr="00DC7514">
              <w:rPr>
                <w:b/>
                <w:color w:val="auto"/>
                <w:sz w:val="16"/>
                <w:szCs w:val="16"/>
              </w:rPr>
              <w:t>Cell Phone:___________________________________________________</w:t>
            </w:r>
          </w:p>
          <w:p w:rsidR="00897AD2" w:rsidRPr="00DC7514" w:rsidRDefault="00897AD2" w:rsidP="0051152F">
            <w:pPr>
              <w:rPr>
                <w:b/>
                <w:color w:val="auto"/>
                <w:sz w:val="16"/>
                <w:szCs w:val="16"/>
              </w:rPr>
            </w:pPr>
            <w:r w:rsidRPr="00DC7514">
              <w:rPr>
                <w:b/>
                <w:color w:val="auto"/>
                <w:sz w:val="16"/>
                <w:szCs w:val="16"/>
              </w:rPr>
              <w:t>Email:_________________________________________________________</w:t>
            </w:r>
          </w:p>
          <w:p w:rsidR="00897AD2" w:rsidRPr="00DC7514" w:rsidRDefault="00897AD2" w:rsidP="0051152F">
            <w:pPr>
              <w:rPr>
                <w:color w:val="auto"/>
                <w:sz w:val="16"/>
                <w:szCs w:val="16"/>
              </w:rPr>
            </w:pPr>
            <w:r w:rsidRPr="00DC7514">
              <w:rPr>
                <w:color w:val="auto"/>
                <w:sz w:val="16"/>
                <w:szCs w:val="16"/>
              </w:rPr>
              <w:t>Confirmation of place on course will only be made on receipt of full payment.</w:t>
            </w:r>
            <w:r w:rsidR="00A40533">
              <w:rPr>
                <w:color w:val="auto"/>
                <w:sz w:val="16"/>
                <w:szCs w:val="16"/>
              </w:rPr>
              <w:t xml:space="preserve"> To qualify for Early Bird rates full payment must be made by 1 May.</w:t>
            </w:r>
          </w:p>
          <w:p w:rsidR="00897AD2" w:rsidRDefault="00897AD2" w:rsidP="0051152F">
            <w:pPr>
              <w:rPr>
                <w:b/>
                <w:color w:val="auto"/>
                <w:sz w:val="16"/>
                <w:szCs w:val="16"/>
              </w:rPr>
            </w:pPr>
          </w:p>
          <w:p w:rsidR="00897AD2" w:rsidRDefault="00897AD2" w:rsidP="0051152F">
            <w:pPr>
              <w:rPr>
                <w:b/>
                <w:color w:val="auto"/>
                <w:sz w:val="16"/>
                <w:szCs w:val="16"/>
              </w:rPr>
            </w:pPr>
          </w:p>
          <w:p w:rsidR="00897AD2" w:rsidRDefault="00897AD2" w:rsidP="0051152F">
            <w:pPr>
              <w:rPr>
                <w:b/>
                <w:color w:val="auto"/>
                <w:sz w:val="16"/>
                <w:szCs w:val="16"/>
              </w:rPr>
            </w:pPr>
          </w:p>
          <w:p w:rsidR="00897AD2" w:rsidRPr="0051152F" w:rsidRDefault="00897AD2" w:rsidP="0051152F">
            <w:pPr>
              <w:rPr>
                <w:b/>
                <w:color w:val="auto"/>
                <w:sz w:val="16"/>
                <w:szCs w:val="16"/>
              </w:rPr>
            </w:pPr>
          </w:p>
          <w:p w:rsidR="0051152F" w:rsidRPr="0051152F" w:rsidRDefault="0051152F" w:rsidP="0051152F">
            <w:pPr>
              <w:rPr>
                <w:color w:val="auto"/>
                <w:sz w:val="12"/>
                <w:szCs w:val="12"/>
              </w:rPr>
            </w:pPr>
          </w:p>
        </w:tc>
      </w:tr>
    </w:tbl>
    <w:p w:rsidR="00321C67" w:rsidRDefault="00321C67">
      <w:pPr>
        <w:pStyle w:val="NoSpacing"/>
      </w:pPr>
    </w:p>
    <w:sectPr w:rsidR="00321C67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D28CFB8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>
    <w:nsid w:val="2C602130"/>
    <w:multiLevelType w:val="hybridMultilevel"/>
    <w:tmpl w:val="3074302A"/>
    <w:lvl w:ilvl="0" w:tplc="D37259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978AE"/>
    <w:multiLevelType w:val="hybridMultilevel"/>
    <w:tmpl w:val="42AEA17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67BDA"/>
    <w:multiLevelType w:val="hybridMultilevel"/>
    <w:tmpl w:val="6272328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802D9"/>
    <w:multiLevelType w:val="hybridMultilevel"/>
    <w:tmpl w:val="F16A072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0E"/>
    <w:rsid w:val="00032485"/>
    <w:rsid w:val="000652AB"/>
    <w:rsid w:val="0009317C"/>
    <w:rsid w:val="000B02E9"/>
    <w:rsid w:val="000B0CD9"/>
    <w:rsid w:val="000F3FB5"/>
    <w:rsid w:val="00107892"/>
    <w:rsid w:val="00170987"/>
    <w:rsid w:val="00184C89"/>
    <w:rsid w:val="00193B68"/>
    <w:rsid w:val="001A048C"/>
    <w:rsid w:val="001E452D"/>
    <w:rsid w:val="001F7B71"/>
    <w:rsid w:val="00254E1B"/>
    <w:rsid w:val="00287513"/>
    <w:rsid w:val="002A52D5"/>
    <w:rsid w:val="0031333D"/>
    <w:rsid w:val="00321C67"/>
    <w:rsid w:val="003B053F"/>
    <w:rsid w:val="003F000A"/>
    <w:rsid w:val="00417293"/>
    <w:rsid w:val="00417C12"/>
    <w:rsid w:val="00453CFE"/>
    <w:rsid w:val="00473667"/>
    <w:rsid w:val="004958B9"/>
    <w:rsid w:val="004A2272"/>
    <w:rsid w:val="004E3517"/>
    <w:rsid w:val="004E454E"/>
    <w:rsid w:val="0051152F"/>
    <w:rsid w:val="005D35FF"/>
    <w:rsid w:val="005E492B"/>
    <w:rsid w:val="005F2501"/>
    <w:rsid w:val="005F4B29"/>
    <w:rsid w:val="006040C7"/>
    <w:rsid w:val="00687B9E"/>
    <w:rsid w:val="006943D6"/>
    <w:rsid w:val="006D2EC7"/>
    <w:rsid w:val="006E1B32"/>
    <w:rsid w:val="007007A6"/>
    <w:rsid w:val="00764637"/>
    <w:rsid w:val="008716D1"/>
    <w:rsid w:val="0087742D"/>
    <w:rsid w:val="00897AD2"/>
    <w:rsid w:val="008C7B62"/>
    <w:rsid w:val="00925DE9"/>
    <w:rsid w:val="00934FFC"/>
    <w:rsid w:val="009634E6"/>
    <w:rsid w:val="009676ED"/>
    <w:rsid w:val="00994A47"/>
    <w:rsid w:val="00A31EA6"/>
    <w:rsid w:val="00A40533"/>
    <w:rsid w:val="00A531D0"/>
    <w:rsid w:val="00B34C5A"/>
    <w:rsid w:val="00B37F64"/>
    <w:rsid w:val="00B8353E"/>
    <w:rsid w:val="00C1266A"/>
    <w:rsid w:val="00C315F3"/>
    <w:rsid w:val="00C5164A"/>
    <w:rsid w:val="00C900A9"/>
    <w:rsid w:val="00CA2D87"/>
    <w:rsid w:val="00CE5040"/>
    <w:rsid w:val="00D1602F"/>
    <w:rsid w:val="00D23CD8"/>
    <w:rsid w:val="00DC7514"/>
    <w:rsid w:val="00DD77DC"/>
    <w:rsid w:val="00E0599F"/>
    <w:rsid w:val="00E1320E"/>
    <w:rsid w:val="00E47A41"/>
    <w:rsid w:val="00E80E5E"/>
    <w:rsid w:val="00EE4A7F"/>
    <w:rsid w:val="00F0511C"/>
    <w:rsid w:val="00F302CB"/>
    <w:rsid w:val="00F357C5"/>
    <w:rsid w:val="00F47110"/>
    <w:rsid w:val="00F67584"/>
    <w:rsid w:val="00FB199E"/>
    <w:rsid w:val="00FF04D5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 w:qFormat="1"/>
    <w:lsdException w:name="caption" w:uiPriority="2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NZ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2"/>
    <w:unhideWhenUsed/>
    <w:qFormat/>
    <w:pPr>
      <w:spacing w:after="340" w:line="240" w:lineRule="auto"/>
    </w:pPr>
    <w:rPr>
      <w:i/>
      <w:iCs/>
      <w:sz w:val="1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Company">
    <w:name w:val="Company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Footer">
    <w:name w:val="footer"/>
    <w:basedOn w:val="Normal"/>
    <w:link w:val="FooterChar"/>
    <w:uiPriority w:val="2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2"/>
    <w:rPr>
      <w:rFonts w:asciiTheme="minorHAnsi" w:eastAsiaTheme="minorEastAsia" w:hAnsiTheme="minorHAnsi" w:cstheme="minorBidi"/>
      <w:sz w:val="17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SubtitleChar">
    <w:name w:val="Subtitle Char"/>
    <w:basedOn w:val="DefaultParagraphFont"/>
    <w:link w:val="Subtitle"/>
    <w:uiPriority w:val="1"/>
    <w:rPr>
      <w:i/>
      <w:iCs/>
      <w:color w:val="FFFFFF" w:themeColor="background1"/>
      <w:sz w:val="26"/>
    </w:r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1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QuoteChar">
    <w:name w:val="Quote Char"/>
    <w:basedOn w:val="DefaultParagraphFont"/>
    <w:link w:val="Quote"/>
    <w:uiPriority w:val="1"/>
    <w:rPr>
      <w:i/>
      <w:iCs/>
      <w:color w:val="027E6F" w:themeColor="accent1" w:themeShade="BF"/>
      <w:sz w:val="30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b/>
      <w:bCs/>
    </w:rPr>
  </w:style>
  <w:style w:type="character" w:styleId="Hyperlink">
    <w:name w:val="Hyperlink"/>
    <w:basedOn w:val="DefaultParagraphFont"/>
    <w:uiPriority w:val="99"/>
    <w:unhideWhenUsed/>
    <w:rsid w:val="00C900A9"/>
    <w:rPr>
      <w:color w:val="4D4436" w:themeColor="hyperlink"/>
      <w:u w:val="single"/>
    </w:rPr>
  </w:style>
  <w:style w:type="character" w:styleId="Strong">
    <w:name w:val="Strong"/>
    <w:basedOn w:val="DefaultParagraphFont"/>
    <w:uiPriority w:val="22"/>
    <w:qFormat/>
    <w:rsid w:val="007646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4637"/>
    <w:pPr>
      <w:spacing w:before="100" w:beforeAutospacing="1" w:after="240" w:line="36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unhideWhenUsed/>
    <w:qFormat/>
    <w:rsid w:val="00F357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517"/>
    <w:rPr>
      <w:rFonts w:ascii="Segoe UI" w:hAnsi="Segoe UI" w:cs="Segoe UI"/>
      <w:sz w:val="18"/>
      <w:szCs w:val="18"/>
      <w:lang w:val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 w:qFormat="1"/>
    <w:lsdException w:name="caption" w:uiPriority="2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NZ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2"/>
    <w:unhideWhenUsed/>
    <w:qFormat/>
    <w:pPr>
      <w:spacing w:after="340" w:line="240" w:lineRule="auto"/>
    </w:pPr>
    <w:rPr>
      <w:i/>
      <w:iCs/>
      <w:sz w:val="1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Company">
    <w:name w:val="Company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Footer">
    <w:name w:val="footer"/>
    <w:basedOn w:val="Normal"/>
    <w:link w:val="FooterChar"/>
    <w:uiPriority w:val="2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2"/>
    <w:rPr>
      <w:rFonts w:asciiTheme="minorHAnsi" w:eastAsiaTheme="minorEastAsia" w:hAnsiTheme="minorHAnsi" w:cstheme="minorBidi"/>
      <w:sz w:val="17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SubtitleChar">
    <w:name w:val="Subtitle Char"/>
    <w:basedOn w:val="DefaultParagraphFont"/>
    <w:link w:val="Subtitle"/>
    <w:uiPriority w:val="1"/>
    <w:rPr>
      <w:i/>
      <w:iCs/>
      <w:color w:val="FFFFFF" w:themeColor="background1"/>
      <w:sz w:val="26"/>
    </w:r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1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QuoteChar">
    <w:name w:val="Quote Char"/>
    <w:basedOn w:val="DefaultParagraphFont"/>
    <w:link w:val="Quote"/>
    <w:uiPriority w:val="1"/>
    <w:rPr>
      <w:i/>
      <w:iCs/>
      <w:color w:val="027E6F" w:themeColor="accent1" w:themeShade="BF"/>
      <w:sz w:val="30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b/>
      <w:bCs/>
    </w:rPr>
  </w:style>
  <w:style w:type="character" w:styleId="Hyperlink">
    <w:name w:val="Hyperlink"/>
    <w:basedOn w:val="DefaultParagraphFont"/>
    <w:uiPriority w:val="99"/>
    <w:unhideWhenUsed/>
    <w:rsid w:val="00C900A9"/>
    <w:rPr>
      <w:color w:val="4D4436" w:themeColor="hyperlink"/>
      <w:u w:val="single"/>
    </w:rPr>
  </w:style>
  <w:style w:type="character" w:styleId="Strong">
    <w:name w:val="Strong"/>
    <w:basedOn w:val="DefaultParagraphFont"/>
    <w:uiPriority w:val="22"/>
    <w:qFormat/>
    <w:rsid w:val="007646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4637"/>
    <w:pPr>
      <w:spacing w:before="100" w:beforeAutospacing="1" w:after="240" w:line="36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unhideWhenUsed/>
    <w:qFormat/>
    <w:rsid w:val="00F357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517"/>
    <w:rPr>
      <w:rFonts w:ascii="Segoe UI" w:hAnsi="Segoe UI" w:cs="Segoe UI"/>
      <w:sz w:val="18"/>
      <w:szCs w:val="18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.baz\AppData\Roaming\Microsoft\Templates\Brochure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FA69E81-0C24-4775-962E-38A881F681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Brochure.dotx</Template>
  <TotalTime>0</TotalTime>
  <Pages>2</Pages>
  <Words>738</Words>
  <Characters>4212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NCAST pARENT-CHILD INTERACTION FEEDING &amp; TEACHING sCALES TRAINING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sar.baz</dc:creator>
  <cp:lastModifiedBy>Terri-Anne Patton (CMDHB)</cp:lastModifiedBy>
  <cp:revision>2</cp:revision>
  <cp:lastPrinted>2015-12-09T22:38:00Z</cp:lastPrinted>
  <dcterms:created xsi:type="dcterms:W3CDTF">2017-03-16T00:55:00Z</dcterms:created>
  <dcterms:modified xsi:type="dcterms:W3CDTF">2017-03-16T00:55:00Z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TC029118979991</vt:lpwstr>
  </property>
</Properties>
</file>